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9ABE5" w14:textId="77777777" w:rsidR="002173A7" w:rsidRDefault="002173A7"/>
    <w:p w14:paraId="07044F5B" w14:textId="77777777" w:rsidR="002173A7" w:rsidRPr="003A78C0" w:rsidRDefault="003A78C0">
      <w:pPr>
        <w:rPr>
          <w:rFonts w:ascii="Century Gothic" w:hAnsi="Century Gothic"/>
          <w:b/>
          <w:sz w:val="22"/>
          <w:szCs w:val="22"/>
        </w:rPr>
      </w:pPr>
      <w:r w:rsidRPr="003A78C0">
        <w:rPr>
          <w:rFonts w:ascii="Century Gothic" w:hAnsi="Century Gothic"/>
          <w:b/>
          <w:sz w:val="22"/>
          <w:szCs w:val="22"/>
        </w:rPr>
        <w:t>MEDIA RELEASE</w:t>
      </w:r>
    </w:p>
    <w:p w14:paraId="4B64FD8C" w14:textId="708A9EAF" w:rsidR="002173A7" w:rsidRPr="003A78C0" w:rsidRDefault="003A78C0">
      <w:pPr>
        <w:rPr>
          <w:rFonts w:ascii="Century Gothic" w:hAnsi="Century Gothic"/>
          <w:sz w:val="22"/>
          <w:szCs w:val="22"/>
        </w:rPr>
      </w:pPr>
      <w:r w:rsidRPr="003A78C0">
        <w:rPr>
          <w:rFonts w:ascii="Century Gothic" w:hAnsi="Century Gothic"/>
          <w:i/>
          <w:sz w:val="22"/>
          <w:szCs w:val="22"/>
        </w:rPr>
        <w:t>For immediate release</w:t>
      </w:r>
      <w:r w:rsidRPr="003A78C0">
        <w:rPr>
          <w:rFonts w:ascii="Century Gothic" w:hAnsi="Century Gothic"/>
          <w:sz w:val="22"/>
          <w:szCs w:val="22"/>
        </w:rPr>
        <w:tab/>
      </w:r>
      <w:r w:rsidRPr="003A78C0">
        <w:rPr>
          <w:rFonts w:ascii="Century Gothic" w:hAnsi="Century Gothic"/>
          <w:sz w:val="22"/>
          <w:szCs w:val="22"/>
        </w:rPr>
        <w:tab/>
      </w:r>
      <w:r w:rsidRPr="003A78C0">
        <w:rPr>
          <w:rFonts w:ascii="Century Gothic" w:hAnsi="Century Gothic"/>
          <w:sz w:val="22"/>
          <w:szCs w:val="22"/>
        </w:rPr>
        <w:tab/>
      </w:r>
      <w:r w:rsidRPr="003A78C0">
        <w:rPr>
          <w:rFonts w:ascii="Century Gothic" w:hAnsi="Century Gothic"/>
          <w:sz w:val="22"/>
          <w:szCs w:val="22"/>
        </w:rPr>
        <w:tab/>
      </w:r>
      <w:r w:rsidRPr="003A78C0">
        <w:rPr>
          <w:rFonts w:ascii="Century Gothic" w:hAnsi="Century Gothic"/>
          <w:sz w:val="22"/>
          <w:szCs w:val="22"/>
        </w:rPr>
        <w:tab/>
      </w:r>
      <w:r w:rsidRPr="003A78C0">
        <w:rPr>
          <w:rFonts w:ascii="Century Gothic" w:hAnsi="Century Gothic"/>
          <w:sz w:val="22"/>
          <w:szCs w:val="22"/>
        </w:rPr>
        <w:tab/>
      </w:r>
      <w:r w:rsidR="007E088C">
        <w:rPr>
          <w:rFonts w:ascii="Century Gothic" w:hAnsi="Century Gothic"/>
          <w:sz w:val="22"/>
          <w:szCs w:val="22"/>
        </w:rPr>
        <w:t xml:space="preserve">                  </w:t>
      </w:r>
      <w:r w:rsidR="00F55E4B">
        <w:rPr>
          <w:rFonts w:ascii="Century Gothic" w:hAnsi="Century Gothic"/>
          <w:sz w:val="22"/>
          <w:szCs w:val="22"/>
        </w:rPr>
        <w:t>1</w:t>
      </w:r>
      <w:r w:rsidR="002578B0">
        <w:rPr>
          <w:rFonts w:ascii="Century Gothic" w:hAnsi="Century Gothic"/>
          <w:sz w:val="22"/>
          <w:szCs w:val="22"/>
        </w:rPr>
        <w:t>7</w:t>
      </w:r>
      <w:r w:rsidRPr="003A78C0">
        <w:rPr>
          <w:rFonts w:ascii="Century Gothic" w:hAnsi="Century Gothic"/>
          <w:sz w:val="22"/>
          <w:szCs w:val="22"/>
        </w:rPr>
        <w:t xml:space="preserve"> </w:t>
      </w:r>
      <w:r w:rsidR="006F7DEB">
        <w:rPr>
          <w:rFonts w:ascii="Century Gothic" w:hAnsi="Century Gothic"/>
          <w:sz w:val="22"/>
          <w:szCs w:val="22"/>
        </w:rPr>
        <w:t xml:space="preserve">December </w:t>
      </w:r>
      <w:r w:rsidRPr="003A78C0">
        <w:rPr>
          <w:rFonts w:ascii="Century Gothic" w:hAnsi="Century Gothic"/>
          <w:sz w:val="22"/>
          <w:szCs w:val="22"/>
        </w:rPr>
        <w:t>201</w:t>
      </w:r>
      <w:r w:rsidR="000C2801">
        <w:rPr>
          <w:rFonts w:ascii="Century Gothic" w:hAnsi="Century Gothic"/>
          <w:sz w:val="22"/>
          <w:szCs w:val="22"/>
        </w:rPr>
        <w:t>8</w:t>
      </w:r>
      <w:r w:rsidR="006977A9">
        <w:rPr>
          <w:rFonts w:ascii="Century Gothic" w:hAnsi="Century Gothic"/>
          <w:sz w:val="22"/>
          <w:szCs w:val="22"/>
        </w:rPr>
        <w:br/>
      </w:r>
    </w:p>
    <w:p w14:paraId="7C5FB321" w14:textId="72FD7D21" w:rsidR="006977A9" w:rsidRPr="005034B1" w:rsidRDefault="006F7DEB" w:rsidP="006977A9">
      <w:pPr>
        <w:autoSpaceDE w:val="0"/>
        <w:autoSpaceDN w:val="0"/>
        <w:adjustRightInd w:val="0"/>
        <w:spacing w:after="120" w:line="360" w:lineRule="auto"/>
        <w:jc w:val="center"/>
        <w:rPr>
          <w:rFonts w:ascii="Century Gothic" w:eastAsiaTheme="minorHAnsi" w:hAnsi="Century Gothic" w:cs="Calibri"/>
          <w:color w:val="000000"/>
          <w:sz w:val="31"/>
          <w:szCs w:val="31"/>
        </w:rPr>
      </w:pPr>
      <w:r w:rsidRPr="005034B1">
        <w:rPr>
          <w:rFonts w:ascii="AvantGarde" w:eastAsiaTheme="minorHAnsi" w:hAnsi="AvantGarde" w:cs="Calibri-Bold"/>
          <w:bCs/>
          <w:color w:val="002060"/>
          <w:sz w:val="31"/>
          <w:szCs w:val="31"/>
        </w:rPr>
        <w:t>Property investors:</w:t>
      </w:r>
      <w:r w:rsidR="005034B1">
        <w:rPr>
          <w:rFonts w:ascii="AvantGarde" w:eastAsiaTheme="minorHAnsi" w:hAnsi="AvantGarde" w:cs="Calibri-Bold"/>
          <w:bCs/>
          <w:color w:val="002060"/>
          <w:sz w:val="31"/>
          <w:szCs w:val="31"/>
        </w:rPr>
        <w:t xml:space="preserve"> </w:t>
      </w:r>
      <w:r w:rsidRPr="005034B1">
        <w:rPr>
          <w:rFonts w:ascii="AvantGarde" w:eastAsiaTheme="minorHAnsi" w:hAnsi="AvantGarde" w:cs="Calibri-Bold"/>
          <w:bCs/>
          <w:color w:val="002060"/>
          <w:sz w:val="31"/>
          <w:szCs w:val="31"/>
        </w:rPr>
        <w:t>These items unlocked over $1B in tax deductions</w:t>
      </w:r>
    </w:p>
    <w:p w14:paraId="78104A45" w14:textId="77777777" w:rsidR="006F7DEB" w:rsidRPr="006B0252" w:rsidRDefault="006F7DEB" w:rsidP="006F7DEB">
      <w:pPr>
        <w:spacing w:after="120" w:line="360" w:lineRule="auto"/>
        <w:rPr>
          <w:rFonts w:ascii="Century Gothic" w:hAnsi="Century Gothic"/>
          <w:color w:val="000000"/>
          <w:sz w:val="20"/>
          <w:szCs w:val="20"/>
        </w:rPr>
      </w:pPr>
      <w:r w:rsidRPr="000752BD">
        <w:rPr>
          <w:rFonts w:ascii="Century Gothic" w:hAnsi="Century Gothic"/>
          <w:color w:val="000000"/>
          <w:sz w:val="20"/>
          <w:szCs w:val="20"/>
        </w:rPr>
        <w:t>For the first time</w:t>
      </w:r>
      <w:r>
        <w:rPr>
          <w:rFonts w:ascii="Century Gothic" w:hAnsi="Century Gothic"/>
          <w:color w:val="000000"/>
          <w:sz w:val="20"/>
          <w:szCs w:val="20"/>
        </w:rPr>
        <w:t xml:space="preserve">, </w:t>
      </w:r>
      <w:r w:rsidRPr="000752BD">
        <w:rPr>
          <w:rFonts w:ascii="Century Gothic" w:hAnsi="Century Gothic"/>
          <w:color w:val="000000"/>
          <w:sz w:val="20"/>
          <w:szCs w:val="20"/>
        </w:rPr>
        <w:t>Australia’s largest provider of tax depreciation reports</w:t>
      </w:r>
      <w:r>
        <w:rPr>
          <w:rFonts w:ascii="Century Gothic" w:hAnsi="Century Gothic"/>
          <w:color w:val="000000"/>
          <w:sz w:val="20"/>
          <w:szCs w:val="20"/>
        </w:rPr>
        <w:t xml:space="preserve"> for</w:t>
      </w:r>
      <w:r w:rsidRPr="000752BD">
        <w:rPr>
          <w:rFonts w:ascii="Century Gothic" w:hAnsi="Century Gothic"/>
          <w:color w:val="000000"/>
          <w:sz w:val="20"/>
          <w:szCs w:val="20"/>
        </w:rPr>
        <w:t xml:space="preserve"> property investors has revealed the most lucrative tax items contained in investment properties and the list is expected to surprise many property owners.   </w:t>
      </w:r>
    </w:p>
    <w:p w14:paraId="23FE28B6" w14:textId="77777777" w:rsidR="006F7DEB" w:rsidRPr="000752BD" w:rsidRDefault="006F7DEB" w:rsidP="006F7DEB">
      <w:pPr>
        <w:spacing w:after="120" w:line="360" w:lineRule="auto"/>
        <w:rPr>
          <w:rFonts w:ascii="Century Gothic" w:hAnsi="Century Gothic"/>
          <w:color w:val="000000"/>
          <w:sz w:val="20"/>
          <w:szCs w:val="20"/>
        </w:rPr>
      </w:pPr>
      <w:r w:rsidRPr="000752BD">
        <w:rPr>
          <w:rFonts w:ascii="Century Gothic" w:hAnsi="Century Gothic"/>
          <w:color w:val="000000"/>
          <w:sz w:val="20"/>
          <w:szCs w:val="20"/>
        </w:rPr>
        <w:t>The Australian Taxation Office (ATO) allows owners of income producing properties to claim deductions for the wear and tear that occurs as a building gets older and items within it wear out. BMT Tax Depreciation has worked with more than half a million Australian property investors to help uncover these lucrative tax deductions.</w:t>
      </w:r>
    </w:p>
    <w:p w14:paraId="686C9A78" w14:textId="1A514B0C" w:rsidR="006F7DEB" w:rsidRPr="000752BD" w:rsidRDefault="006F7DEB" w:rsidP="006F7DEB">
      <w:pPr>
        <w:spacing w:after="120"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0752BD">
        <w:rPr>
          <w:rFonts w:ascii="Century Gothic" w:hAnsi="Century Gothic"/>
          <w:color w:val="000000"/>
          <w:sz w:val="20"/>
          <w:szCs w:val="20"/>
        </w:rPr>
        <w:t>The CEO of BMT, Bradley Beer</w:t>
      </w:r>
      <w:r>
        <w:rPr>
          <w:rFonts w:ascii="Century Gothic" w:hAnsi="Century Gothic"/>
          <w:color w:val="000000"/>
          <w:sz w:val="20"/>
          <w:szCs w:val="20"/>
        </w:rPr>
        <w:t>,</w:t>
      </w:r>
      <w:r w:rsidRPr="000752BD">
        <w:rPr>
          <w:rFonts w:ascii="Century Gothic" w:hAnsi="Century Gothic"/>
          <w:color w:val="000000"/>
          <w:sz w:val="20"/>
          <w:szCs w:val="20"/>
        </w:rPr>
        <w:t xml:space="preserve"> said that analysis of BMT’s client reports for last financial year showed that the company had discovered slightly over $1 billion</w:t>
      </w: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 worth of legitimate tax deductions</w:t>
      </w:r>
      <w:r>
        <w:rPr>
          <w:rFonts w:ascii="Century Gothic" w:hAnsi="Century Gothic"/>
          <w:bCs/>
          <w:color w:val="000000"/>
          <w:sz w:val="20"/>
          <w:szCs w:val="20"/>
        </w:rPr>
        <w:t xml:space="preserve"> from the ten most high value items found in clients’ investment properties  </w:t>
      </w: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 and by far the most lucrative item for investors was carpet. </w:t>
      </w:r>
    </w:p>
    <w:p w14:paraId="296ECAF5" w14:textId="77777777" w:rsidR="006F7DEB" w:rsidRPr="000752BD" w:rsidRDefault="006F7DEB" w:rsidP="006F7DEB">
      <w:pPr>
        <w:spacing w:after="120"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0752BD">
        <w:rPr>
          <w:rFonts w:ascii="Century Gothic" w:hAnsi="Century Gothic"/>
          <w:bCs/>
          <w:color w:val="000000"/>
          <w:sz w:val="20"/>
          <w:szCs w:val="20"/>
        </w:rPr>
        <w:t>“If you have carpet in your</w:t>
      </w:r>
      <w:r>
        <w:rPr>
          <w:rFonts w:ascii="Century Gothic" w:hAnsi="Century Gothic"/>
          <w:bCs/>
          <w:color w:val="000000"/>
          <w:sz w:val="20"/>
          <w:szCs w:val="20"/>
        </w:rPr>
        <w:t xml:space="preserve"> residential</w:t>
      </w: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 investment property, like nearly nine out of ten of our clients did, your likely sitting on a goldmine of tax deductions. We found nearly $180 million worth of carpet related tax deductions</w:t>
      </w:r>
      <w:r>
        <w:rPr>
          <w:rFonts w:ascii="Century Gothic" w:hAnsi="Century Gothic"/>
          <w:bCs/>
          <w:color w:val="000000"/>
          <w:sz w:val="20"/>
          <w:szCs w:val="20"/>
        </w:rPr>
        <w:t xml:space="preserve"> in residential properties</w:t>
      </w: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 last financial year that can be claimed over ten years (the item’s effective life according to the ATO),” said Bradley Beer.</w:t>
      </w:r>
    </w:p>
    <w:p w14:paraId="1A6CD8EC" w14:textId="77777777" w:rsidR="006F7DEB" w:rsidRPr="000752BD" w:rsidRDefault="006F7DEB" w:rsidP="006F7DEB">
      <w:pPr>
        <w:spacing w:after="120"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0752BD">
        <w:rPr>
          <w:rFonts w:ascii="Century Gothic" w:hAnsi="Century Gothic"/>
          <w:bCs/>
          <w:color w:val="000000"/>
          <w:sz w:val="20"/>
          <w:szCs w:val="20"/>
        </w:rPr>
        <w:t>Split system (</w:t>
      </w:r>
      <w:r>
        <w:rPr>
          <w:rFonts w:ascii="Century Gothic" w:hAnsi="Century Gothic"/>
          <w:bCs/>
          <w:color w:val="000000"/>
          <w:sz w:val="20"/>
          <w:szCs w:val="20"/>
        </w:rPr>
        <w:t>$146 million</w:t>
      </w:r>
      <w:r w:rsidRPr="000752BD">
        <w:rPr>
          <w:rFonts w:ascii="Century Gothic" w:hAnsi="Century Gothic"/>
          <w:bCs/>
          <w:color w:val="000000"/>
          <w:sz w:val="20"/>
          <w:szCs w:val="20"/>
        </w:rPr>
        <w:t>) and standalone air conditioners (</w:t>
      </w:r>
      <w:r>
        <w:rPr>
          <w:rFonts w:ascii="Century Gothic" w:hAnsi="Century Gothic"/>
          <w:bCs/>
          <w:color w:val="000000"/>
          <w:sz w:val="20"/>
          <w:szCs w:val="20"/>
        </w:rPr>
        <w:t>$122 million</w:t>
      </w: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) were the second and third most lucrative items for investors for the 2017/18 financial year. </w:t>
      </w:r>
    </w:p>
    <w:p w14:paraId="5CCA86E3" w14:textId="77777777" w:rsidR="006F7DEB" w:rsidRPr="000752BD" w:rsidRDefault="006F7DEB" w:rsidP="006F7DEB">
      <w:pPr>
        <w:spacing w:after="120"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0752BD">
        <w:rPr>
          <w:rFonts w:ascii="Century Gothic" w:hAnsi="Century Gothic"/>
          <w:bCs/>
          <w:color w:val="000000"/>
          <w:sz w:val="20"/>
          <w:szCs w:val="20"/>
        </w:rPr>
        <w:t>“Blinds and lifts rounded out the top five, with our team finding $116 million worth of legitima</w:t>
      </w:r>
      <w:r>
        <w:rPr>
          <w:rFonts w:ascii="Century Gothic" w:hAnsi="Century Gothic"/>
          <w:bCs/>
          <w:color w:val="000000"/>
          <w:sz w:val="20"/>
          <w:szCs w:val="20"/>
        </w:rPr>
        <w:t>te tax deductions for each item</w:t>
      </w: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 over their effective lives,” said Bradley Beer. </w:t>
      </w:r>
    </w:p>
    <w:p w14:paraId="60A5924C" w14:textId="77777777" w:rsidR="006F7DEB" w:rsidRPr="000752BD" w:rsidRDefault="006F7DEB" w:rsidP="006F7DEB">
      <w:pPr>
        <w:spacing w:after="120"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“I can say with a degree of certainty that if you have purchased a new apartment as an investment property and it has carpet, blinds, air-conditioning and a lift as part of the building – you are going to be pleasantly surprised by the value of tax deductions you are entitled to moving forward. </w:t>
      </w:r>
    </w:p>
    <w:p w14:paraId="4AEA53A9" w14:textId="77777777" w:rsidR="006F7DEB" w:rsidRPr="000752BD" w:rsidRDefault="006F7DEB" w:rsidP="006F7DEB">
      <w:pPr>
        <w:spacing w:after="120"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Ovens ($95 million), floating timber floors ($89 million), hot water systems ($81 million), dishwashers ($75 million) and cooktops ($56 million) </w:t>
      </w:r>
      <w:r>
        <w:rPr>
          <w:rFonts w:ascii="Century Gothic" w:hAnsi="Century Gothic"/>
          <w:bCs/>
          <w:color w:val="000000"/>
          <w:sz w:val="20"/>
          <w:szCs w:val="20"/>
        </w:rPr>
        <w:t xml:space="preserve">rounded out the top ten. </w:t>
      </w:r>
    </w:p>
    <w:p w14:paraId="1A98635F" w14:textId="77777777" w:rsidR="006F7DEB" w:rsidRPr="000752BD" w:rsidRDefault="006F7DEB" w:rsidP="006F7DEB">
      <w:pPr>
        <w:spacing w:after="120"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Last year, the Federal Government passed some of the most significant changes to tax depreciation laws since the 1980s. </w:t>
      </w:r>
      <w:proofErr w:type="spellStart"/>
      <w:r w:rsidRPr="000752BD">
        <w:rPr>
          <w:rFonts w:ascii="Century Gothic" w:hAnsi="Century Gothic"/>
          <w:bCs/>
          <w:color w:val="000000"/>
          <w:sz w:val="20"/>
          <w:szCs w:val="20"/>
        </w:rPr>
        <w:t>Mr</w:t>
      </w:r>
      <w:proofErr w:type="spellEnd"/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 Beer said that</w:t>
      </w:r>
      <w:r>
        <w:rPr>
          <w:rFonts w:ascii="Century Gothic" w:hAnsi="Century Gothic"/>
          <w:bCs/>
          <w:color w:val="000000"/>
          <w:sz w:val="20"/>
          <w:szCs w:val="20"/>
        </w:rPr>
        <w:t xml:space="preserve"> while</w:t>
      </w: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 the changes exclude some investors from claiming certain items moving forward</w:t>
      </w:r>
      <w:r>
        <w:rPr>
          <w:rFonts w:ascii="Century Gothic" w:hAnsi="Century Gothic"/>
          <w:bCs/>
          <w:color w:val="000000"/>
          <w:sz w:val="20"/>
          <w:szCs w:val="20"/>
        </w:rPr>
        <w:t>, there are still significant deductions available to be claimed for all owners of income producing properties</w:t>
      </w: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. </w:t>
      </w:r>
    </w:p>
    <w:p w14:paraId="5A530B8D" w14:textId="77777777" w:rsidR="00E32253" w:rsidRDefault="00E32253" w:rsidP="006F7DEB">
      <w:pPr>
        <w:spacing w:after="120" w:line="360" w:lineRule="auto"/>
        <w:rPr>
          <w:rFonts w:ascii="Century Gothic" w:hAnsi="Century Gothic"/>
          <w:bCs/>
          <w:color w:val="000000"/>
          <w:sz w:val="20"/>
          <w:szCs w:val="20"/>
        </w:rPr>
      </w:pPr>
    </w:p>
    <w:p w14:paraId="74772164" w14:textId="77777777" w:rsidR="00E32253" w:rsidRDefault="00E32253" w:rsidP="006F7DEB">
      <w:pPr>
        <w:spacing w:after="120" w:line="360" w:lineRule="auto"/>
        <w:rPr>
          <w:rFonts w:ascii="Century Gothic" w:hAnsi="Century Gothic"/>
          <w:bCs/>
          <w:color w:val="000000"/>
          <w:sz w:val="20"/>
          <w:szCs w:val="20"/>
        </w:rPr>
      </w:pPr>
    </w:p>
    <w:p w14:paraId="1DCDBCD9" w14:textId="77777777" w:rsidR="00E32253" w:rsidRDefault="00E32253" w:rsidP="006F7DEB">
      <w:pPr>
        <w:spacing w:after="120" w:line="360" w:lineRule="auto"/>
        <w:rPr>
          <w:rFonts w:ascii="Century Gothic" w:hAnsi="Century Gothic"/>
          <w:bCs/>
          <w:color w:val="000000"/>
          <w:sz w:val="20"/>
          <w:szCs w:val="20"/>
        </w:rPr>
      </w:pPr>
    </w:p>
    <w:p w14:paraId="6328F958" w14:textId="1948ED8B" w:rsidR="006F7DEB" w:rsidRPr="000752BD" w:rsidRDefault="006F7DEB" w:rsidP="006F7DEB">
      <w:pPr>
        <w:spacing w:after="120" w:line="360" w:lineRule="auto"/>
        <w:rPr>
          <w:rFonts w:ascii="Century Gothic" w:hAnsi="Century Gothic"/>
          <w:bCs/>
          <w:color w:val="000000"/>
          <w:sz w:val="20"/>
          <w:szCs w:val="20"/>
        </w:rPr>
      </w:pPr>
      <w:bookmarkStart w:id="0" w:name="_GoBack"/>
      <w:bookmarkEnd w:id="0"/>
      <w:r w:rsidRPr="000752BD">
        <w:rPr>
          <w:rFonts w:ascii="Century Gothic" w:hAnsi="Century Gothic"/>
          <w:bCs/>
          <w:color w:val="000000"/>
          <w:sz w:val="20"/>
          <w:szCs w:val="20"/>
        </w:rPr>
        <w:t>“</w:t>
      </w:r>
      <w:r>
        <w:rPr>
          <w:rFonts w:ascii="Century Gothic" w:hAnsi="Century Gothic"/>
          <w:bCs/>
          <w:color w:val="000000"/>
          <w:sz w:val="20"/>
          <w:szCs w:val="20"/>
        </w:rPr>
        <w:t>T</w:t>
      </w: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he changes mean that it is more important than ever for investors to liaise with their advisors and specialist </w:t>
      </w:r>
      <w:r>
        <w:rPr>
          <w:rFonts w:ascii="Century Gothic" w:hAnsi="Century Gothic"/>
          <w:bCs/>
          <w:color w:val="000000"/>
          <w:sz w:val="20"/>
          <w:szCs w:val="20"/>
        </w:rPr>
        <w:t>Q</w:t>
      </w: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uantity </w:t>
      </w:r>
      <w:r>
        <w:rPr>
          <w:rFonts w:ascii="Century Gothic" w:hAnsi="Century Gothic"/>
          <w:bCs/>
          <w:color w:val="000000"/>
          <w:sz w:val="20"/>
          <w:szCs w:val="20"/>
        </w:rPr>
        <w:t>S</w:t>
      </w: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urveyors to ensure that they are claiming the right items and at the right rate,” said Bradley Beer. </w:t>
      </w:r>
    </w:p>
    <w:p w14:paraId="35F289E6" w14:textId="77777777" w:rsidR="006F7DEB" w:rsidRDefault="006F7DEB" w:rsidP="006F7DEB">
      <w:pPr>
        <w:spacing w:after="120" w:line="360" w:lineRule="auto"/>
        <w:rPr>
          <w:rFonts w:ascii="Century Gothic" w:hAnsi="Century Gothic"/>
          <w:bCs/>
          <w:color w:val="000000"/>
          <w:sz w:val="20"/>
          <w:szCs w:val="20"/>
        </w:rPr>
      </w:pPr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“BMT’s analysis has shown the scale of tax deductions available to investors and in a toughening real estate market, investors would be wise to ensure they are legitimately </w:t>
      </w:r>
      <w:proofErr w:type="spellStart"/>
      <w:r w:rsidRPr="000752BD">
        <w:rPr>
          <w:rFonts w:ascii="Century Gothic" w:hAnsi="Century Gothic"/>
          <w:bCs/>
          <w:color w:val="000000"/>
          <w:sz w:val="20"/>
          <w:szCs w:val="20"/>
        </w:rPr>
        <w:t>maximising</w:t>
      </w:r>
      <w:proofErr w:type="spellEnd"/>
      <w:r w:rsidRPr="000752BD">
        <w:rPr>
          <w:rFonts w:ascii="Century Gothic" w:hAnsi="Century Gothic"/>
          <w:bCs/>
          <w:color w:val="000000"/>
          <w:sz w:val="20"/>
          <w:szCs w:val="20"/>
        </w:rPr>
        <w:t xml:space="preserve"> their claims,” concluded Bradley Beer.</w:t>
      </w:r>
    </w:p>
    <w:p w14:paraId="6C6F6B24" w14:textId="689004AD" w:rsidR="006977A9" w:rsidRPr="00F55E4B" w:rsidRDefault="006977A9" w:rsidP="002578B0">
      <w:pPr>
        <w:autoSpaceDE w:val="0"/>
        <w:autoSpaceDN w:val="0"/>
        <w:adjustRightInd w:val="0"/>
        <w:spacing w:after="120" w:line="360" w:lineRule="auto"/>
        <w:rPr>
          <w:rFonts w:ascii="Century Gothic" w:eastAsiaTheme="minorHAnsi" w:hAnsi="Century Gothic" w:cs="Calibri-Bold"/>
          <w:b/>
          <w:bCs/>
          <w:color w:val="000000"/>
          <w:sz w:val="18"/>
          <w:szCs w:val="18"/>
        </w:rPr>
      </w:pPr>
      <w:r w:rsidRPr="00F55E4B">
        <w:rPr>
          <w:rFonts w:ascii="Century Gothic" w:eastAsiaTheme="minorHAnsi" w:hAnsi="Century Gothic" w:cs="Calibri-Bold"/>
          <w:b/>
          <w:bCs/>
          <w:color w:val="000000"/>
          <w:sz w:val="18"/>
          <w:szCs w:val="18"/>
        </w:rPr>
        <w:t xml:space="preserve">- ENDS </w:t>
      </w:r>
      <w:r w:rsidR="000C2801" w:rsidRPr="00F55E4B">
        <w:rPr>
          <w:rFonts w:ascii="Century Gothic" w:eastAsiaTheme="minorHAnsi" w:hAnsi="Century Gothic" w:cs="Calibri-Bold"/>
          <w:b/>
          <w:bCs/>
          <w:color w:val="000000"/>
          <w:sz w:val="18"/>
          <w:szCs w:val="18"/>
        </w:rPr>
        <w:t xml:space="preserve">– </w:t>
      </w:r>
    </w:p>
    <w:p w14:paraId="61A3C4ED" w14:textId="77777777" w:rsidR="002173A7" w:rsidRPr="00F55E4B" w:rsidRDefault="003A78C0">
      <w:pPr>
        <w:rPr>
          <w:rFonts w:ascii="Century Gothic" w:hAnsi="Century Gothic"/>
          <w:sz w:val="18"/>
          <w:szCs w:val="18"/>
        </w:rPr>
      </w:pPr>
      <w:r w:rsidRPr="00F55E4B">
        <w:rPr>
          <w:rFonts w:ascii="Century Gothic" w:hAnsi="Century Gothic"/>
          <w:b/>
          <w:sz w:val="18"/>
          <w:szCs w:val="18"/>
        </w:rPr>
        <w:br/>
        <w:t>For all media enquires please contact:</w:t>
      </w:r>
      <w:r w:rsidRPr="00F55E4B">
        <w:rPr>
          <w:rFonts w:ascii="Century Gothic" w:hAnsi="Century Gothic"/>
          <w:b/>
          <w:sz w:val="18"/>
          <w:szCs w:val="18"/>
        </w:rPr>
        <w:br/>
      </w:r>
      <w:r w:rsidRPr="00F55E4B">
        <w:rPr>
          <w:rFonts w:ascii="Century Gothic" w:hAnsi="Century Gothic"/>
          <w:sz w:val="18"/>
          <w:szCs w:val="18"/>
        </w:rPr>
        <w:br/>
        <w:t xml:space="preserve">Bradley Beer </w:t>
      </w:r>
      <w:r w:rsidRPr="00F55E4B">
        <w:rPr>
          <w:rFonts w:ascii="Century Gothic" w:hAnsi="Century Gothic"/>
          <w:sz w:val="18"/>
          <w:szCs w:val="18"/>
        </w:rPr>
        <w:br/>
        <w:t xml:space="preserve">CEO, BMT Tax Depreciation </w:t>
      </w:r>
      <w:r w:rsidRPr="00F55E4B">
        <w:rPr>
          <w:rFonts w:ascii="Century Gothic" w:hAnsi="Century Gothic"/>
          <w:sz w:val="18"/>
          <w:szCs w:val="18"/>
        </w:rPr>
        <w:br/>
      </w:r>
      <w:r w:rsidRPr="00F55E4B">
        <w:rPr>
          <w:rFonts w:ascii="Century Gothic" w:hAnsi="Century Gothic"/>
          <w:sz w:val="18"/>
          <w:szCs w:val="18"/>
        </w:rPr>
        <w:br/>
        <w:t>Phone:</w:t>
      </w:r>
      <w:r w:rsidRPr="00F55E4B">
        <w:rPr>
          <w:rFonts w:ascii="Century Gothic" w:hAnsi="Century Gothic"/>
          <w:sz w:val="18"/>
          <w:szCs w:val="18"/>
        </w:rPr>
        <w:tab/>
        <w:t xml:space="preserve">0413 271 777 </w:t>
      </w:r>
      <w:r w:rsidRPr="00F55E4B">
        <w:rPr>
          <w:rFonts w:ascii="Century Gothic" w:hAnsi="Century Gothic"/>
          <w:sz w:val="18"/>
          <w:szCs w:val="18"/>
        </w:rPr>
        <w:br/>
        <w:t>Email:</w:t>
      </w:r>
      <w:r w:rsidRPr="00F55E4B">
        <w:rPr>
          <w:rFonts w:ascii="Century Gothic" w:hAnsi="Century Gothic"/>
          <w:sz w:val="18"/>
          <w:szCs w:val="18"/>
        </w:rPr>
        <w:tab/>
      </w:r>
      <w:hyperlink r:id="rId8" w:history="1">
        <w:r w:rsidRPr="00F55E4B">
          <w:rPr>
            <w:rStyle w:val="Hyperlink"/>
            <w:rFonts w:ascii="Century Gothic" w:hAnsi="Century Gothic"/>
            <w:sz w:val="18"/>
            <w:szCs w:val="18"/>
          </w:rPr>
          <w:t>media@</w:t>
        </w:r>
      </w:hyperlink>
      <w:r w:rsidRPr="00F55E4B">
        <w:rPr>
          <w:rStyle w:val="Hyperlink"/>
          <w:rFonts w:ascii="Century Gothic" w:hAnsi="Century Gothic"/>
          <w:sz w:val="18"/>
          <w:szCs w:val="18"/>
        </w:rPr>
        <w:t>bmtqs.com.au</w:t>
      </w:r>
    </w:p>
    <w:p w14:paraId="62C69A1A" w14:textId="77777777" w:rsidR="002173A7" w:rsidRPr="00F55E4B" w:rsidRDefault="002173A7">
      <w:pPr>
        <w:spacing w:line="360" w:lineRule="auto"/>
        <w:rPr>
          <w:rFonts w:ascii="Century Gothic" w:hAnsi="Century Gothic"/>
          <w:b/>
          <w:sz w:val="18"/>
          <w:szCs w:val="18"/>
        </w:rPr>
      </w:pPr>
    </w:p>
    <w:p w14:paraId="7812C7C2" w14:textId="77777777" w:rsidR="002173A7" w:rsidRPr="00F55E4B" w:rsidRDefault="003A78C0">
      <w:pPr>
        <w:spacing w:line="360" w:lineRule="auto"/>
        <w:rPr>
          <w:rFonts w:ascii="Century Gothic" w:hAnsi="Century Gothic"/>
          <w:b/>
          <w:sz w:val="18"/>
          <w:szCs w:val="18"/>
        </w:rPr>
      </w:pPr>
      <w:r w:rsidRPr="00F55E4B">
        <w:rPr>
          <w:rFonts w:ascii="Century Gothic" w:hAnsi="Century Gothic"/>
          <w:b/>
          <w:sz w:val="18"/>
          <w:szCs w:val="18"/>
        </w:rPr>
        <w:t>About BMT Tax Depreciation</w:t>
      </w:r>
    </w:p>
    <w:p w14:paraId="03866866" w14:textId="77777777" w:rsidR="002173A7" w:rsidRPr="00F55E4B" w:rsidRDefault="003A78C0">
      <w:pPr>
        <w:spacing w:line="360" w:lineRule="auto"/>
        <w:rPr>
          <w:sz w:val="18"/>
          <w:szCs w:val="18"/>
        </w:rPr>
      </w:pPr>
      <w:r w:rsidRPr="00F55E4B">
        <w:rPr>
          <w:rFonts w:ascii="Century Gothic" w:hAnsi="Century Gothic"/>
          <w:sz w:val="18"/>
          <w:szCs w:val="18"/>
        </w:rPr>
        <w:t xml:space="preserve">BMT Tax Depreciation (BMT) is a Quantity Surveying company </w:t>
      </w:r>
      <w:proofErr w:type="spellStart"/>
      <w:r w:rsidRPr="00F55E4B">
        <w:rPr>
          <w:rFonts w:ascii="Century Gothic" w:hAnsi="Century Gothic"/>
          <w:sz w:val="18"/>
          <w:szCs w:val="18"/>
        </w:rPr>
        <w:t>specialising</w:t>
      </w:r>
      <w:proofErr w:type="spellEnd"/>
      <w:r w:rsidRPr="00F55E4B">
        <w:rPr>
          <w:rFonts w:ascii="Century Gothic" w:hAnsi="Century Gothic"/>
          <w:sz w:val="18"/>
          <w:szCs w:val="18"/>
        </w:rPr>
        <w:t xml:space="preserve"> in the provision of tax depreciation schedules for residential and commercial investment properties. Commencing business in 1997, demand from property investors nationally has seen business expand Australia-wide with offices now located in Sydney, Parramatta, Melbourne, Brisbane, Newcastle, Adelaide, Perth, Gold Coast, Cairns, Canberra, Hobart and Darwin.</w:t>
      </w:r>
    </w:p>
    <w:p w14:paraId="565FBB8A" w14:textId="77777777" w:rsidR="002173A7" w:rsidRDefault="002173A7">
      <w:pPr>
        <w:tabs>
          <w:tab w:val="left" w:pos="2720"/>
        </w:tabs>
      </w:pPr>
    </w:p>
    <w:p w14:paraId="31AA7699" w14:textId="77777777" w:rsidR="002173A7" w:rsidRDefault="002173A7">
      <w:pPr>
        <w:tabs>
          <w:tab w:val="left" w:pos="2720"/>
        </w:tabs>
      </w:pPr>
    </w:p>
    <w:p w14:paraId="7394A0C6" w14:textId="77777777" w:rsidR="002173A7" w:rsidRDefault="002173A7">
      <w:pPr>
        <w:tabs>
          <w:tab w:val="left" w:pos="2720"/>
        </w:tabs>
      </w:pPr>
    </w:p>
    <w:p w14:paraId="27E8B9ED" w14:textId="77777777" w:rsidR="002173A7" w:rsidRDefault="002173A7">
      <w:pPr>
        <w:tabs>
          <w:tab w:val="left" w:pos="2720"/>
        </w:tabs>
      </w:pPr>
    </w:p>
    <w:p w14:paraId="26318574" w14:textId="77777777" w:rsidR="002173A7" w:rsidRDefault="002173A7">
      <w:pPr>
        <w:tabs>
          <w:tab w:val="left" w:pos="2720"/>
        </w:tabs>
      </w:pPr>
    </w:p>
    <w:p w14:paraId="54D96A23" w14:textId="77777777" w:rsidR="002173A7" w:rsidRDefault="002173A7">
      <w:pPr>
        <w:tabs>
          <w:tab w:val="left" w:pos="2720"/>
        </w:tabs>
      </w:pPr>
    </w:p>
    <w:p w14:paraId="33C9A6FE" w14:textId="77777777" w:rsidR="002173A7" w:rsidRDefault="002173A7">
      <w:pPr>
        <w:tabs>
          <w:tab w:val="left" w:pos="2720"/>
        </w:tabs>
      </w:pPr>
    </w:p>
    <w:p w14:paraId="5A1835CA" w14:textId="77777777" w:rsidR="002173A7" w:rsidRDefault="002173A7">
      <w:pPr>
        <w:tabs>
          <w:tab w:val="left" w:pos="2720"/>
        </w:tabs>
      </w:pPr>
    </w:p>
    <w:sectPr w:rsidR="002173A7">
      <w:headerReference w:type="default" r:id="rId9"/>
      <w:footerReference w:type="default" r:id="rId10"/>
      <w:headerReference w:type="first" r:id="rId11"/>
      <w:pgSz w:w="11900" w:h="16840"/>
      <w:pgMar w:top="1531" w:right="992" w:bottom="1276" w:left="10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DDED89" w14:textId="77777777" w:rsidR="002173A7" w:rsidRDefault="003A78C0">
      <w:r>
        <w:separator/>
      </w:r>
    </w:p>
  </w:endnote>
  <w:endnote w:type="continuationSeparator" w:id="0">
    <w:p w14:paraId="611978E8" w14:textId="77777777" w:rsidR="002173A7" w:rsidRDefault="003A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">
    <w:altName w:val="Century Gothic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68EC" w14:textId="77777777" w:rsidR="002173A7" w:rsidRDefault="003A78C0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 wp14:anchorId="3E2E3CA8" wp14:editId="0ED9BFD8">
          <wp:simplePos x="0" y="0"/>
          <wp:positionH relativeFrom="page">
            <wp:align>right</wp:align>
          </wp:positionH>
          <wp:positionV relativeFrom="paragraph">
            <wp:posOffset>-1952625</wp:posOffset>
          </wp:positionV>
          <wp:extent cx="7550785" cy="2760980"/>
          <wp:effectExtent l="0" t="0" r="0" b="1270"/>
          <wp:wrapNone/>
          <wp:docPr id="3" name="Picture 3" descr="Marketing:Graphic Design:BMT Stationery:2015_LH355 BMT Letterheads:2015_LH355_BMTLetterhead_ALL_PKG:All Addresses:2015_LH355_BMTLetterhead_ALL addresses_v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Graphic Design:BMT Stationery:2015_LH355 BMT Letterheads:2015_LH355_BMTLetterhead_ALL_PKG:All Addresses:2015_LH355_BMTLetterhead_ALL addresses_v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276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9F96E" w14:textId="77777777" w:rsidR="002173A7" w:rsidRDefault="00217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46637" w14:textId="77777777" w:rsidR="002173A7" w:rsidRDefault="003A78C0">
      <w:r>
        <w:separator/>
      </w:r>
    </w:p>
  </w:footnote>
  <w:footnote w:type="continuationSeparator" w:id="0">
    <w:p w14:paraId="3A264608" w14:textId="77777777" w:rsidR="002173A7" w:rsidRDefault="003A78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DB069" w14:textId="77777777" w:rsidR="002173A7" w:rsidRDefault="003A78C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 wp14:anchorId="6440C0CE" wp14:editId="233187AA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560310" cy="1219835"/>
          <wp:effectExtent l="0" t="0" r="2540" b="0"/>
          <wp:wrapNone/>
          <wp:docPr id="1" name="Picture 1" descr="LH_Logo header_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_Logo header_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F56863" w14:textId="77777777" w:rsidR="002173A7" w:rsidRDefault="002173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CD342" w14:textId="77777777" w:rsidR="002173A7" w:rsidRDefault="003A78C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 wp14:anchorId="52A16788" wp14:editId="150DB0BD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60310" cy="1219835"/>
          <wp:effectExtent l="0" t="0" r="2540" b="0"/>
          <wp:wrapNone/>
          <wp:docPr id="2" name="Picture 2" descr="LH_Logo header_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_Logo header_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160D7" w14:textId="77777777" w:rsidR="002173A7" w:rsidRDefault="00217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56933"/>
    <w:multiLevelType w:val="hybridMultilevel"/>
    <w:tmpl w:val="529A6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A7"/>
    <w:rsid w:val="000C2801"/>
    <w:rsid w:val="00195BD3"/>
    <w:rsid w:val="002173A7"/>
    <w:rsid w:val="002578B0"/>
    <w:rsid w:val="003A78C0"/>
    <w:rsid w:val="005034B1"/>
    <w:rsid w:val="006977A9"/>
    <w:rsid w:val="006F7DEB"/>
    <w:rsid w:val="007E088C"/>
    <w:rsid w:val="00CB28CF"/>
    <w:rsid w:val="00E32253"/>
    <w:rsid w:val="00F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."/>
  <w:listSeparator w:val=","/>
  <w14:docId w14:val="03CB8009"/>
  <w14:defaultImageDpi w14:val="300"/>
  <w15:docId w15:val="{23B221E7-040D-4F80-8BB1-06BAF46F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00548C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A78C0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AU" w:eastAsia="en-AU"/>
    </w:rPr>
  </w:style>
  <w:style w:type="paragraph" w:styleId="ListParagraph">
    <w:name w:val="List Paragraph"/>
    <w:basedOn w:val="Normal"/>
    <w:uiPriority w:val="34"/>
    <w:qFormat/>
    <w:rsid w:val="006977A9"/>
    <w:pPr>
      <w:spacing w:before="60" w:after="60"/>
      <w:ind w:left="720"/>
      <w:contextualSpacing/>
    </w:pPr>
    <w:rPr>
      <w:rFonts w:ascii="Calibri" w:eastAsia="Calibri" w:hAnsi="Calibri" w:cs="Times New Roman"/>
      <w:sz w:val="22"/>
      <w:szCs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C2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35A50-3CDE-4ADB-AA28-C0C65CA6E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BMT Tax Depreciation</Company>
  <LinksUpToDate>false</LinksUpToDate>
  <CharactersWithSpaces>3660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Brown</dc:creator>
  <cp:keywords/>
  <dc:description/>
  <cp:lastModifiedBy>Rani Bonwick</cp:lastModifiedBy>
  <cp:revision>2</cp:revision>
  <cp:lastPrinted>2018-12-17T23:33:00Z</cp:lastPrinted>
  <dcterms:created xsi:type="dcterms:W3CDTF">2018-12-17T23:34:00Z</dcterms:created>
  <dcterms:modified xsi:type="dcterms:W3CDTF">2018-12-17T23:34:00Z</dcterms:modified>
</cp:coreProperties>
</file>